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2FB" w:rsidRPr="00996ABA" w:rsidRDefault="00294764" w:rsidP="006212FB">
      <w:pPr>
        <w:rPr>
          <w:rStyle w:val="Heading2Char"/>
          <w:rFonts w:ascii="Arial" w:hAnsi="Arial" w:cs="Arial"/>
          <w:color w:val="FFC000"/>
          <w:sz w:val="36"/>
          <w:szCs w:val="36"/>
        </w:rPr>
      </w:pPr>
      <w:r w:rsidRPr="00996ABA">
        <w:rPr>
          <w:rFonts w:ascii="Arial" w:hAnsi="Arial" w:cs="Arial"/>
          <w:b/>
          <w:color w:val="FFC000"/>
          <w:sz w:val="36"/>
          <w:szCs w:val="36"/>
        </w:rPr>
        <w:t>Introduction:</w:t>
      </w:r>
      <w:r w:rsidR="00AA1DE5" w:rsidRPr="00996ABA">
        <w:rPr>
          <w:rFonts w:ascii="Arial" w:hAnsi="Arial" w:cs="Arial"/>
          <w:b/>
          <w:color w:val="FFC000"/>
          <w:sz w:val="36"/>
          <w:szCs w:val="36"/>
        </w:rPr>
        <w:t xml:space="preserve">  </w:t>
      </w:r>
      <w:r w:rsidRPr="00996ABA">
        <w:rPr>
          <w:rStyle w:val="Heading2Char"/>
          <w:rFonts w:ascii="Arial" w:hAnsi="Arial" w:cs="Arial"/>
          <w:b/>
          <w:color w:val="FFC000"/>
          <w:sz w:val="36"/>
          <w:szCs w:val="36"/>
        </w:rPr>
        <w:t>Depreciation</w:t>
      </w:r>
      <w:r w:rsidRPr="00996ABA">
        <w:rPr>
          <w:rStyle w:val="Heading2Char"/>
          <w:rFonts w:ascii="Arial" w:hAnsi="Arial" w:cs="Arial"/>
          <w:color w:val="FFC000"/>
          <w:sz w:val="36"/>
          <w:szCs w:val="36"/>
        </w:rPr>
        <w:t xml:space="preserve"> </w:t>
      </w:r>
    </w:p>
    <w:p w:rsidR="00294764" w:rsidRPr="00996ABA" w:rsidRDefault="0060695D" w:rsidP="006212FB">
      <w:pPr>
        <w:rPr>
          <w:rStyle w:val="Heading2Char"/>
          <w:rFonts w:ascii="Arial" w:hAnsi="Arial" w:cs="Arial"/>
          <w:color w:val="auto"/>
          <w:sz w:val="20"/>
          <w:szCs w:val="20"/>
        </w:rPr>
      </w:pPr>
      <w:r w:rsidRPr="00996ABA">
        <w:rPr>
          <w:rStyle w:val="Heading2Char"/>
          <w:rFonts w:ascii="Arial" w:hAnsi="Arial" w:cs="Arial"/>
          <w:color w:val="auto"/>
          <w:sz w:val="20"/>
          <w:szCs w:val="20"/>
        </w:rPr>
        <w:t>This Blog will explain about the Deprecation calculations</w:t>
      </w:r>
    </w:p>
    <w:p w:rsidR="00294764" w:rsidRPr="00996ABA" w:rsidRDefault="00294764" w:rsidP="006212FB">
      <w:pPr>
        <w:rPr>
          <w:rStyle w:val="Heading2Char"/>
          <w:rFonts w:ascii="Arial" w:hAnsi="Arial" w:cs="Arial"/>
          <w:color w:val="00B0F0"/>
          <w:sz w:val="28"/>
          <w:szCs w:val="28"/>
        </w:rPr>
      </w:pPr>
      <w:r w:rsidRPr="00996ABA">
        <w:rPr>
          <w:rStyle w:val="Heading2Char"/>
          <w:rFonts w:ascii="Arial" w:hAnsi="Arial" w:cs="Arial"/>
          <w:color w:val="00B0F0"/>
          <w:sz w:val="28"/>
          <w:szCs w:val="28"/>
        </w:rPr>
        <w:t>What is Depreciation?</w:t>
      </w:r>
    </w:p>
    <w:p w:rsidR="000A4603" w:rsidRPr="00996ABA" w:rsidRDefault="00294764" w:rsidP="006212FB">
      <w:pPr>
        <w:rPr>
          <w:rFonts w:ascii="Arial" w:hAnsi="Arial" w:cs="Arial"/>
          <w:sz w:val="20"/>
          <w:szCs w:val="20"/>
        </w:rPr>
      </w:pPr>
      <w:r w:rsidRPr="00996ABA">
        <w:rPr>
          <w:rFonts w:ascii="Arial" w:hAnsi="Arial" w:cs="Arial"/>
          <w:sz w:val="20"/>
          <w:szCs w:val="20"/>
        </w:rPr>
        <w:t>Assets calculates depreciation using either the recoverable cost or the recoverable net book value as a basis: Asset cost: Assets calculates the fiscal year depreciation by multiplying the recoverable cost by the rate.</w:t>
      </w:r>
    </w:p>
    <w:p w:rsidR="006212FB" w:rsidRPr="00996ABA" w:rsidRDefault="006212FB" w:rsidP="006212FB">
      <w:pPr>
        <w:rPr>
          <w:rStyle w:val="Heading2Char"/>
          <w:rFonts w:ascii="Arial" w:hAnsi="Arial" w:cs="Arial"/>
          <w:color w:val="00B0F0"/>
          <w:sz w:val="28"/>
          <w:szCs w:val="28"/>
        </w:rPr>
      </w:pPr>
      <w:r w:rsidRPr="00996ABA">
        <w:rPr>
          <w:rStyle w:val="Heading2Char"/>
          <w:rFonts w:ascii="Arial" w:hAnsi="Arial" w:cs="Arial"/>
          <w:color w:val="00B0F0"/>
          <w:sz w:val="28"/>
          <w:szCs w:val="28"/>
        </w:rPr>
        <w:t xml:space="preserve">Why </w:t>
      </w:r>
      <w:r w:rsidR="008618EE" w:rsidRPr="00996ABA">
        <w:rPr>
          <w:rStyle w:val="Heading2Char"/>
          <w:rFonts w:ascii="Arial" w:hAnsi="Arial" w:cs="Arial"/>
          <w:color w:val="00B0F0"/>
          <w:sz w:val="28"/>
          <w:szCs w:val="28"/>
        </w:rPr>
        <w:t>d</w:t>
      </w:r>
      <w:r w:rsidRPr="00996ABA">
        <w:rPr>
          <w:rStyle w:val="Heading2Char"/>
          <w:rFonts w:ascii="Arial" w:hAnsi="Arial" w:cs="Arial"/>
          <w:color w:val="00B0F0"/>
          <w:sz w:val="28"/>
          <w:szCs w:val="28"/>
        </w:rPr>
        <w:t>o</w:t>
      </w:r>
      <w:r w:rsidR="008618EE" w:rsidRPr="00996ABA">
        <w:rPr>
          <w:rStyle w:val="Heading2Char"/>
          <w:rFonts w:ascii="Arial" w:hAnsi="Arial" w:cs="Arial"/>
          <w:color w:val="00B0F0"/>
          <w:sz w:val="28"/>
          <w:szCs w:val="28"/>
        </w:rPr>
        <w:t xml:space="preserve"> asset </w:t>
      </w:r>
      <w:r w:rsidR="00996ABA" w:rsidRPr="00996ABA">
        <w:rPr>
          <w:rStyle w:val="Heading2Char"/>
          <w:rFonts w:ascii="Arial" w:hAnsi="Arial" w:cs="Arial"/>
          <w:color w:val="00B0F0"/>
          <w:sz w:val="28"/>
          <w:szCs w:val="28"/>
        </w:rPr>
        <w:t xml:space="preserve">Depreciate? </w:t>
      </w:r>
    </w:p>
    <w:p w:rsidR="008618EE" w:rsidRPr="00996ABA" w:rsidRDefault="008618EE" w:rsidP="006212FB">
      <w:pPr>
        <w:rPr>
          <w:rFonts w:ascii="Arial" w:hAnsi="Arial" w:cs="Arial"/>
          <w:sz w:val="20"/>
          <w:szCs w:val="20"/>
        </w:rPr>
      </w:pPr>
      <w:r w:rsidRPr="00996ABA">
        <w:rPr>
          <w:rFonts w:ascii="Arial" w:hAnsi="Arial" w:cs="Arial"/>
          <w:sz w:val="20"/>
          <w:szCs w:val="20"/>
        </w:rPr>
        <w:t>The value of your tangible or physical assets - such as vehicles, machinery and equipment - will fall as they are used and eventually wear out. This is depreciation and is used in your business accounts to write off the value of the assets you have bought over time.</w:t>
      </w:r>
    </w:p>
    <w:p w:rsidR="0060695D" w:rsidRPr="00996ABA" w:rsidRDefault="0060695D" w:rsidP="0060695D">
      <w:pPr>
        <w:pStyle w:val="p"/>
        <w:shd w:val="clear" w:color="auto" w:fill="FFFFFF"/>
        <w:spacing w:before="0" w:beforeAutospacing="0" w:after="120" w:afterAutospacing="0"/>
        <w:rPr>
          <w:rFonts w:ascii="Arial" w:hAnsi="Arial" w:cs="Arial"/>
          <w:sz w:val="20"/>
          <w:szCs w:val="20"/>
        </w:rPr>
      </w:pPr>
    </w:p>
    <w:p w:rsidR="0060695D" w:rsidRPr="00996ABA" w:rsidRDefault="0060695D" w:rsidP="0060695D">
      <w:pPr>
        <w:pStyle w:val="p"/>
        <w:shd w:val="clear" w:color="auto" w:fill="FFFFFF"/>
        <w:spacing w:before="0" w:beforeAutospacing="0" w:after="120" w:afterAutospacing="0"/>
        <w:rPr>
          <w:rStyle w:val="Heading2Char"/>
          <w:rFonts w:ascii="Arial" w:hAnsi="Arial" w:cs="Arial"/>
          <w:color w:val="00B0F0"/>
          <w:sz w:val="28"/>
          <w:szCs w:val="28"/>
          <w:lang w:eastAsia="en-US"/>
        </w:rPr>
      </w:pPr>
      <w:r w:rsidRPr="00996ABA">
        <w:rPr>
          <w:rStyle w:val="Heading2Char"/>
          <w:rFonts w:ascii="Arial" w:hAnsi="Arial" w:cs="Arial"/>
          <w:color w:val="00B0F0"/>
          <w:sz w:val="28"/>
          <w:szCs w:val="28"/>
          <w:lang w:eastAsia="en-US"/>
        </w:rPr>
        <w:t xml:space="preserve">Depreciation Method </w:t>
      </w:r>
    </w:p>
    <w:p w:rsidR="008618EE" w:rsidRPr="008618EE" w:rsidRDefault="008618EE" w:rsidP="008618EE">
      <w:pPr>
        <w:shd w:val="clear" w:color="auto" w:fill="FFFFFF"/>
        <w:spacing w:before="210" w:after="210" w:line="240" w:lineRule="auto"/>
        <w:rPr>
          <w:rFonts w:ascii="Arial" w:eastAsia="Times New Roman" w:hAnsi="Arial" w:cs="Arial"/>
          <w:color w:val="1A1816"/>
          <w:sz w:val="20"/>
          <w:szCs w:val="20"/>
          <w:lang w:eastAsia="en-IN"/>
        </w:rPr>
      </w:pPr>
      <w:r w:rsidRPr="008618EE">
        <w:rPr>
          <w:rFonts w:ascii="Arial" w:eastAsia="Times New Roman" w:hAnsi="Arial" w:cs="Arial"/>
          <w:color w:val="1A1816"/>
          <w:sz w:val="20"/>
          <w:szCs w:val="20"/>
          <w:lang w:eastAsia="en-IN"/>
        </w:rPr>
        <w:t>Depreciation methods specify how to allocate the asset cost.</w:t>
      </w:r>
    </w:p>
    <w:p w:rsidR="008618EE" w:rsidRPr="008618EE" w:rsidRDefault="008618EE" w:rsidP="008618EE">
      <w:pPr>
        <w:shd w:val="clear" w:color="auto" w:fill="FFFFFF"/>
        <w:spacing w:before="210" w:after="210" w:line="240" w:lineRule="auto"/>
        <w:rPr>
          <w:rFonts w:ascii="Arial" w:eastAsia="Times New Roman" w:hAnsi="Arial" w:cs="Arial"/>
          <w:color w:val="1A1816"/>
          <w:sz w:val="20"/>
          <w:szCs w:val="20"/>
          <w:lang w:eastAsia="en-IN"/>
        </w:rPr>
      </w:pPr>
      <w:r w:rsidRPr="008618EE">
        <w:rPr>
          <w:rFonts w:ascii="Arial" w:eastAsia="Times New Roman" w:hAnsi="Arial" w:cs="Arial"/>
          <w:color w:val="1A1816"/>
          <w:sz w:val="20"/>
          <w:szCs w:val="20"/>
          <w:lang w:eastAsia="en-IN"/>
        </w:rPr>
        <w:t>You can use:</w:t>
      </w:r>
    </w:p>
    <w:p w:rsidR="008618EE" w:rsidRPr="008618EE" w:rsidRDefault="008618EE" w:rsidP="008618EE">
      <w:pPr>
        <w:numPr>
          <w:ilvl w:val="0"/>
          <w:numId w:val="6"/>
        </w:numPr>
        <w:shd w:val="clear" w:color="auto" w:fill="FFFFFF"/>
        <w:spacing w:after="120" w:line="240" w:lineRule="auto"/>
        <w:rPr>
          <w:rFonts w:ascii="Arial" w:eastAsia="Times New Roman" w:hAnsi="Arial" w:cs="Arial"/>
          <w:color w:val="1A1816"/>
          <w:sz w:val="20"/>
          <w:szCs w:val="20"/>
          <w:lang w:eastAsia="en-IN"/>
        </w:rPr>
      </w:pPr>
      <w:r w:rsidRPr="008618EE">
        <w:rPr>
          <w:rFonts w:ascii="Arial" w:eastAsia="Times New Roman" w:hAnsi="Arial" w:cs="Arial"/>
          <w:color w:val="1A1816"/>
          <w:sz w:val="20"/>
          <w:szCs w:val="20"/>
          <w:lang w:eastAsia="en-IN"/>
        </w:rPr>
        <w:t>Oracle Assets predefined depreciation methods.</w:t>
      </w:r>
    </w:p>
    <w:p w:rsidR="008618EE" w:rsidRPr="008618EE" w:rsidRDefault="008618EE" w:rsidP="008618EE">
      <w:pPr>
        <w:numPr>
          <w:ilvl w:val="0"/>
          <w:numId w:val="6"/>
        </w:numPr>
        <w:shd w:val="clear" w:color="auto" w:fill="FFFFFF"/>
        <w:spacing w:after="120" w:line="240" w:lineRule="auto"/>
        <w:rPr>
          <w:rFonts w:ascii="Arial" w:eastAsia="Times New Roman" w:hAnsi="Arial" w:cs="Arial"/>
          <w:color w:val="1A1816"/>
          <w:sz w:val="20"/>
          <w:szCs w:val="20"/>
          <w:lang w:eastAsia="en-IN"/>
        </w:rPr>
      </w:pPr>
      <w:r w:rsidRPr="008618EE">
        <w:rPr>
          <w:rFonts w:ascii="Arial" w:eastAsia="Times New Roman" w:hAnsi="Arial" w:cs="Arial"/>
          <w:color w:val="1A1816"/>
          <w:sz w:val="20"/>
          <w:szCs w:val="20"/>
          <w:lang w:eastAsia="en-IN"/>
        </w:rPr>
        <w:t>Company-defined depreciation methods you define to accommodate your financial and accounting needs.</w:t>
      </w:r>
    </w:p>
    <w:p w:rsidR="0060695D" w:rsidRPr="00996ABA" w:rsidRDefault="0060695D" w:rsidP="006212FB">
      <w:pPr>
        <w:rPr>
          <w:rFonts w:ascii="Arial" w:hAnsi="Arial" w:cs="Arial"/>
          <w:sz w:val="20"/>
          <w:szCs w:val="20"/>
        </w:rPr>
      </w:pPr>
      <w:r w:rsidRPr="00996ABA">
        <w:rPr>
          <w:rStyle w:val="hgkelc"/>
          <w:rFonts w:ascii="Arial" w:hAnsi="Arial" w:cs="Arial"/>
          <w:sz w:val="20"/>
          <w:szCs w:val="20"/>
          <w:shd w:val="clear" w:color="auto" w:fill="FFFFFF"/>
          <w:lang w:val="en"/>
        </w:rPr>
        <w:t>Straight Line Method</w:t>
      </w:r>
      <w:r w:rsidRPr="00996ABA">
        <w:rPr>
          <w:rStyle w:val="hgkelc"/>
          <w:rFonts w:ascii="Arial" w:hAnsi="Arial" w:cs="Arial"/>
          <w:sz w:val="20"/>
          <w:szCs w:val="20"/>
        </w:rPr>
        <w:br/>
      </w:r>
      <w:r w:rsidRPr="00996ABA">
        <w:rPr>
          <w:rFonts w:ascii="Arial" w:hAnsi="Arial" w:cs="Arial"/>
          <w:sz w:val="20"/>
          <w:szCs w:val="20"/>
          <w:shd w:val="clear" w:color="auto" w:fill="FFFFFF"/>
          <w:lang w:val="en"/>
        </w:rPr>
        <w:br/>
      </w:r>
      <w:proofErr w:type="gramStart"/>
      <w:r w:rsidRPr="00996ABA">
        <w:rPr>
          <w:rStyle w:val="hgkelc"/>
          <w:rFonts w:ascii="Arial" w:hAnsi="Arial" w:cs="Arial"/>
          <w:sz w:val="20"/>
          <w:szCs w:val="20"/>
          <w:shd w:val="clear" w:color="auto" w:fill="FFFFFF"/>
          <w:lang w:val="en"/>
        </w:rPr>
        <w:t>This</w:t>
      </w:r>
      <w:proofErr w:type="gramEnd"/>
      <w:r w:rsidRPr="00996ABA">
        <w:rPr>
          <w:rStyle w:val="hgkelc"/>
          <w:rFonts w:ascii="Arial" w:hAnsi="Arial" w:cs="Arial"/>
          <w:sz w:val="20"/>
          <w:szCs w:val="20"/>
          <w:shd w:val="clear" w:color="auto" w:fill="FFFFFF"/>
          <w:lang w:val="en"/>
        </w:rPr>
        <w:t xml:space="preserve"> is the simplest and most used depreciation method. It is best for smaller businesses that are looking for a simple way to calculate depreciation. With the straight-line method, you are calculating a depreciation amount that is the same year after year for the life of the asset.</w:t>
      </w:r>
      <w:r w:rsidRPr="00996ABA">
        <w:rPr>
          <w:rStyle w:val="kx21rb"/>
          <w:rFonts w:ascii="Arial" w:hAnsi="Arial" w:cs="Arial"/>
          <w:sz w:val="20"/>
          <w:szCs w:val="20"/>
          <w:shd w:val="clear" w:color="auto" w:fill="FFFFFF"/>
        </w:rPr>
        <w:t>8</w:t>
      </w:r>
    </w:p>
    <w:p w:rsidR="008228E9" w:rsidRPr="00996ABA" w:rsidRDefault="0060695D" w:rsidP="006212FB">
      <w:pPr>
        <w:rPr>
          <w:rStyle w:val="Heading2Char"/>
          <w:rFonts w:ascii="Arial" w:hAnsi="Arial" w:cs="Arial"/>
          <w:color w:val="00B0F0"/>
          <w:sz w:val="24"/>
          <w:szCs w:val="24"/>
        </w:rPr>
      </w:pPr>
      <w:r w:rsidRPr="00996ABA">
        <w:rPr>
          <w:rStyle w:val="Heading2Char"/>
          <w:rFonts w:ascii="Arial" w:hAnsi="Arial" w:cs="Arial"/>
          <w:color w:val="00B0F0"/>
          <w:sz w:val="24"/>
          <w:szCs w:val="24"/>
        </w:rPr>
        <w:t>Settings That Affect Depreciation Calculation</w:t>
      </w:r>
    </w:p>
    <w:p w:rsidR="0060695D" w:rsidRPr="00996ABA" w:rsidRDefault="0060695D" w:rsidP="006212FB">
      <w:pPr>
        <w:rPr>
          <w:rFonts w:ascii="Arial" w:hAnsi="Arial" w:cs="Arial"/>
          <w:sz w:val="24"/>
          <w:szCs w:val="24"/>
        </w:rPr>
      </w:pPr>
      <w:r w:rsidRPr="00996ABA">
        <w:rPr>
          <w:rFonts w:ascii="Arial" w:hAnsi="Arial" w:cs="Arial"/>
          <w:sz w:val="24"/>
          <w:szCs w:val="24"/>
        </w:rPr>
        <w:t>Prorate and Retirement Conventions</w:t>
      </w:r>
    </w:p>
    <w:p w:rsidR="0060695D" w:rsidRPr="00996ABA" w:rsidRDefault="0060695D" w:rsidP="0060695D">
      <w:pPr>
        <w:shd w:val="clear" w:color="auto" w:fill="FFFFFF"/>
        <w:spacing w:before="210" w:after="210" w:line="240" w:lineRule="auto"/>
        <w:rPr>
          <w:rFonts w:ascii="Arial" w:eastAsia="Times New Roman" w:hAnsi="Arial" w:cs="Arial"/>
          <w:sz w:val="20"/>
          <w:szCs w:val="20"/>
          <w:lang w:eastAsia="en-IN"/>
        </w:rPr>
      </w:pPr>
      <w:r w:rsidRPr="00996ABA">
        <w:rPr>
          <w:rFonts w:ascii="Arial" w:eastAsia="Times New Roman" w:hAnsi="Arial" w:cs="Arial"/>
          <w:sz w:val="20"/>
          <w:szCs w:val="20"/>
          <w:lang w:eastAsia="en-IN"/>
        </w:rPr>
        <w:t>Oracle Assets uses prorate and retirement conventions to determine how much depreciation to take in the first and last year of an asset's life.</w:t>
      </w:r>
    </w:p>
    <w:p w:rsidR="0060695D" w:rsidRPr="00996ABA" w:rsidRDefault="0060695D" w:rsidP="0060695D">
      <w:pPr>
        <w:shd w:val="clear" w:color="auto" w:fill="FFFFFF"/>
        <w:spacing w:before="210" w:after="210" w:line="240" w:lineRule="auto"/>
        <w:rPr>
          <w:rFonts w:ascii="Arial" w:eastAsia="Times New Roman" w:hAnsi="Arial" w:cs="Arial"/>
          <w:sz w:val="20"/>
          <w:szCs w:val="20"/>
          <w:lang w:eastAsia="en-IN"/>
        </w:rPr>
      </w:pPr>
      <w:r w:rsidRPr="00996ABA">
        <w:rPr>
          <w:rFonts w:ascii="Arial" w:eastAsia="Times New Roman" w:hAnsi="Arial" w:cs="Arial"/>
          <w:sz w:val="20"/>
          <w:szCs w:val="20"/>
          <w:lang w:eastAsia="en-IN"/>
        </w:rPr>
        <w:t>To determine depreciation, set up:</w:t>
      </w:r>
    </w:p>
    <w:p w:rsidR="0060695D" w:rsidRPr="00996ABA" w:rsidRDefault="0060695D" w:rsidP="0060695D">
      <w:pPr>
        <w:numPr>
          <w:ilvl w:val="0"/>
          <w:numId w:val="3"/>
        </w:numPr>
        <w:shd w:val="clear" w:color="auto" w:fill="FFFFFF"/>
        <w:spacing w:after="120" w:line="240" w:lineRule="auto"/>
        <w:rPr>
          <w:rFonts w:ascii="Arial" w:eastAsia="Times New Roman" w:hAnsi="Arial" w:cs="Arial"/>
          <w:sz w:val="20"/>
          <w:szCs w:val="20"/>
          <w:lang w:eastAsia="en-IN"/>
        </w:rPr>
      </w:pPr>
      <w:r w:rsidRPr="00996ABA">
        <w:rPr>
          <w:rFonts w:ascii="Arial" w:eastAsia="Times New Roman" w:hAnsi="Arial" w:cs="Arial"/>
          <w:sz w:val="20"/>
          <w:szCs w:val="20"/>
          <w:lang w:eastAsia="en-IN"/>
        </w:rPr>
        <w:t>Prorate conventions</w:t>
      </w:r>
    </w:p>
    <w:p w:rsidR="0060695D" w:rsidRPr="00996ABA" w:rsidRDefault="0060695D" w:rsidP="0060695D">
      <w:pPr>
        <w:numPr>
          <w:ilvl w:val="0"/>
          <w:numId w:val="3"/>
        </w:numPr>
        <w:shd w:val="clear" w:color="auto" w:fill="FFFFFF"/>
        <w:spacing w:after="120" w:line="240" w:lineRule="auto"/>
        <w:rPr>
          <w:rFonts w:ascii="Arial" w:eastAsia="Times New Roman" w:hAnsi="Arial" w:cs="Arial"/>
          <w:sz w:val="20"/>
          <w:szCs w:val="20"/>
          <w:lang w:eastAsia="en-IN"/>
        </w:rPr>
      </w:pPr>
      <w:r w:rsidRPr="00996ABA">
        <w:rPr>
          <w:rFonts w:ascii="Arial" w:eastAsia="Times New Roman" w:hAnsi="Arial" w:cs="Arial"/>
          <w:sz w:val="20"/>
          <w:szCs w:val="20"/>
          <w:lang w:eastAsia="en-IN"/>
        </w:rPr>
        <w:t>Retirement conventions</w:t>
      </w:r>
    </w:p>
    <w:p w:rsidR="008618EE" w:rsidRPr="00996ABA" w:rsidRDefault="008618EE" w:rsidP="008618EE">
      <w:pPr>
        <w:shd w:val="clear" w:color="auto" w:fill="FFFFFF"/>
        <w:spacing w:after="120" w:line="240" w:lineRule="auto"/>
        <w:rPr>
          <w:rFonts w:ascii="Arial" w:eastAsia="Times New Roman" w:hAnsi="Arial" w:cs="Arial"/>
          <w:sz w:val="20"/>
          <w:szCs w:val="20"/>
          <w:lang w:eastAsia="en-IN"/>
        </w:rPr>
      </w:pPr>
    </w:p>
    <w:p w:rsidR="0060695D" w:rsidRPr="00996ABA" w:rsidRDefault="0060695D" w:rsidP="008618EE">
      <w:pPr>
        <w:rPr>
          <w:rFonts w:ascii="Arial" w:hAnsi="Arial" w:cs="Arial"/>
          <w:b/>
          <w:sz w:val="20"/>
          <w:szCs w:val="20"/>
          <w:u w:val="single"/>
        </w:rPr>
      </w:pPr>
      <w:r w:rsidRPr="00996ABA">
        <w:rPr>
          <w:rFonts w:ascii="Arial" w:hAnsi="Arial" w:cs="Arial"/>
          <w:b/>
          <w:sz w:val="20"/>
          <w:szCs w:val="20"/>
          <w:u w:val="single"/>
        </w:rPr>
        <w:t>Prorate convention</w:t>
      </w:r>
    </w:p>
    <w:p w:rsidR="008618EE" w:rsidRPr="00996ABA" w:rsidRDefault="008618EE" w:rsidP="0060695D">
      <w:pPr>
        <w:pStyle w:val="ListParagraph"/>
        <w:rPr>
          <w:rFonts w:ascii="Arial" w:hAnsi="Arial" w:cs="Arial"/>
          <w:b/>
          <w:sz w:val="20"/>
          <w:szCs w:val="20"/>
          <w:u w:val="single"/>
        </w:rPr>
      </w:pPr>
    </w:p>
    <w:p w:rsidR="0060695D" w:rsidRPr="00996ABA" w:rsidRDefault="0060695D" w:rsidP="0060695D">
      <w:pPr>
        <w:pStyle w:val="ListParagraph"/>
        <w:numPr>
          <w:ilvl w:val="0"/>
          <w:numId w:val="3"/>
        </w:numPr>
        <w:rPr>
          <w:rFonts w:ascii="Arial" w:hAnsi="Arial" w:cs="Arial"/>
          <w:sz w:val="20"/>
          <w:szCs w:val="20"/>
        </w:rPr>
      </w:pPr>
      <w:r w:rsidRPr="00996ABA">
        <w:rPr>
          <w:rFonts w:ascii="Arial" w:hAnsi="Arial" w:cs="Arial"/>
          <w:sz w:val="20"/>
          <w:szCs w:val="20"/>
          <w:shd w:val="clear" w:color="auto" w:fill="FFFFFF"/>
        </w:rPr>
        <w:t>Oracle Assets uses prorate and retirement conventions to determine how much depreciation to take in the first and last year of an asset's life. To determine depreciation, set up: Prorate conventions. Retirement conventions.</w:t>
      </w:r>
    </w:p>
    <w:p w:rsidR="0060695D" w:rsidRPr="00996ABA" w:rsidRDefault="0060695D" w:rsidP="0060695D">
      <w:pPr>
        <w:rPr>
          <w:rFonts w:ascii="Arial" w:hAnsi="Arial" w:cs="Arial"/>
          <w:sz w:val="20"/>
          <w:szCs w:val="20"/>
        </w:rPr>
      </w:pPr>
    </w:p>
    <w:p w:rsidR="0060695D" w:rsidRPr="00996ABA" w:rsidRDefault="0060695D" w:rsidP="0060695D">
      <w:pPr>
        <w:rPr>
          <w:rFonts w:ascii="Arial" w:hAnsi="Arial" w:cs="Arial"/>
          <w:sz w:val="20"/>
          <w:szCs w:val="20"/>
        </w:rPr>
      </w:pPr>
      <w:r w:rsidRPr="00996ABA">
        <w:rPr>
          <w:rFonts w:ascii="Arial" w:hAnsi="Arial" w:cs="Arial"/>
          <w:noProof/>
          <w:sz w:val="20"/>
          <w:szCs w:val="20"/>
          <w:lang w:eastAsia="en-IN"/>
        </w:rPr>
        <w:lastRenderedPageBreak/>
        <w:drawing>
          <wp:inline distT="0" distB="0" distL="0" distR="0" wp14:anchorId="6C18C755" wp14:editId="0DA40516">
            <wp:extent cx="5731510" cy="1938655"/>
            <wp:effectExtent l="76200" t="76200" r="116840" b="1187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938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695D" w:rsidRPr="00996ABA" w:rsidRDefault="0060695D" w:rsidP="0060695D">
      <w:pPr>
        <w:rPr>
          <w:rFonts w:ascii="Arial" w:hAnsi="Arial" w:cs="Arial"/>
          <w:sz w:val="20"/>
          <w:szCs w:val="20"/>
        </w:rPr>
      </w:pPr>
      <w:r w:rsidRPr="00996ABA">
        <w:rPr>
          <w:rFonts w:ascii="Arial" w:hAnsi="Arial" w:cs="Arial"/>
          <w:noProof/>
          <w:sz w:val="20"/>
          <w:szCs w:val="20"/>
          <w:lang w:eastAsia="en-IN"/>
        </w:rPr>
        <w:drawing>
          <wp:inline distT="0" distB="0" distL="0" distR="0" wp14:anchorId="505AADCA" wp14:editId="41CA0449">
            <wp:extent cx="5731510" cy="2037715"/>
            <wp:effectExtent l="76200" t="76200" r="116840" b="1149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037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695D" w:rsidRPr="00996ABA" w:rsidRDefault="0060695D" w:rsidP="0060695D">
      <w:pPr>
        <w:rPr>
          <w:rFonts w:ascii="Arial" w:hAnsi="Arial" w:cs="Arial"/>
          <w:sz w:val="20"/>
          <w:szCs w:val="20"/>
        </w:rPr>
      </w:pPr>
      <w:r w:rsidRPr="00996ABA">
        <w:rPr>
          <w:rFonts w:ascii="Arial" w:hAnsi="Arial" w:cs="Arial"/>
          <w:noProof/>
          <w:sz w:val="20"/>
          <w:szCs w:val="20"/>
          <w:lang w:eastAsia="en-IN"/>
        </w:rPr>
        <w:drawing>
          <wp:inline distT="0" distB="0" distL="0" distR="0" wp14:anchorId="3F050D82" wp14:editId="3FE41662">
            <wp:extent cx="5731510" cy="2600960"/>
            <wp:effectExtent l="76200" t="76200" r="116840" b="1231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600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695D" w:rsidRPr="00996ABA" w:rsidRDefault="0060695D" w:rsidP="0060695D">
      <w:pPr>
        <w:rPr>
          <w:rFonts w:ascii="Arial" w:hAnsi="Arial" w:cs="Arial"/>
          <w:sz w:val="20"/>
          <w:szCs w:val="20"/>
        </w:rPr>
      </w:pPr>
      <w:r w:rsidRPr="00996ABA">
        <w:rPr>
          <w:rFonts w:ascii="Arial" w:hAnsi="Arial" w:cs="Arial"/>
          <w:noProof/>
          <w:sz w:val="20"/>
          <w:szCs w:val="20"/>
          <w:lang w:eastAsia="en-IN"/>
        </w:rPr>
        <w:lastRenderedPageBreak/>
        <w:drawing>
          <wp:inline distT="0" distB="0" distL="0" distR="0" wp14:anchorId="12B89071" wp14:editId="4D8A0389">
            <wp:extent cx="5731510" cy="2828290"/>
            <wp:effectExtent l="76200" t="76200" r="116840" b="1054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828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695D" w:rsidRPr="0060695D" w:rsidRDefault="0060695D" w:rsidP="0060695D">
      <w:pPr>
        <w:spacing w:after="210" w:line="240" w:lineRule="auto"/>
        <w:rPr>
          <w:rFonts w:ascii="Arial" w:eastAsia="Times New Roman" w:hAnsi="Arial" w:cs="Arial"/>
          <w:sz w:val="20"/>
          <w:szCs w:val="20"/>
          <w:lang w:eastAsia="en-IN"/>
        </w:rPr>
      </w:pPr>
      <w:r w:rsidRPr="0060695D">
        <w:rPr>
          <w:rFonts w:ascii="Arial" w:eastAsia="Times New Roman" w:hAnsi="Arial" w:cs="Arial"/>
          <w:sz w:val="20"/>
          <w:szCs w:val="20"/>
          <w:lang w:eastAsia="en-IN"/>
        </w:rPr>
        <w:t xml:space="preserve">Assets uses the prorate date to choose </w:t>
      </w:r>
      <w:proofErr w:type="gramStart"/>
      <w:r w:rsidRPr="0060695D">
        <w:rPr>
          <w:rFonts w:ascii="Arial" w:eastAsia="Times New Roman" w:hAnsi="Arial" w:cs="Arial"/>
          <w:sz w:val="20"/>
          <w:szCs w:val="20"/>
          <w:lang w:eastAsia="en-IN"/>
        </w:rPr>
        <w:t>a prorate</w:t>
      </w:r>
      <w:proofErr w:type="gramEnd"/>
      <w:r w:rsidRPr="0060695D">
        <w:rPr>
          <w:rFonts w:ascii="Arial" w:eastAsia="Times New Roman" w:hAnsi="Arial" w:cs="Arial"/>
          <w:sz w:val="20"/>
          <w:szCs w:val="20"/>
          <w:lang w:eastAsia="en-IN"/>
        </w:rPr>
        <w:t xml:space="preserve"> period from the prorate calendar.</w:t>
      </w:r>
    </w:p>
    <w:p w:rsidR="0060695D" w:rsidRPr="00996ABA" w:rsidRDefault="0060695D" w:rsidP="0060695D">
      <w:pPr>
        <w:numPr>
          <w:ilvl w:val="0"/>
          <w:numId w:val="4"/>
        </w:numPr>
        <w:spacing w:after="120" w:line="240" w:lineRule="auto"/>
        <w:rPr>
          <w:rFonts w:ascii="Arial" w:eastAsia="Times New Roman" w:hAnsi="Arial" w:cs="Arial"/>
          <w:sz w:val="20"/>
          <w:szCs w:val="20"/>
          <w:lang w:eastAsia="en-IN"/>
        </w:rPr>
      </w:pPr>
      <w:r w:rsidRPr="0060695D">
        <w:rPr>
          <w:rFonts w:ascii="Arial" w:eastAsia="Times New Roman" w:hAnsi="Arial" w:cs="Arial"/>
          <w:sz w:val="20"/>
          <w:szCs w:val="20"/>
          <w:lang w:eastAsia="en-IN"/>
        </w:rPr>
        <w:t xml:space="preserve">Life-based methods: </w:t>
      </w:r>
      <w:proofErr w:type="gramStart"/>
      <w:r w:rsidRPr="0060695D">
        <w:rPr>
          <w:rFonts w:ascii="Arial" w:eastAsia="Times New Roman" w:hAnsi="Arial" w:cs="Arial"/>
          <w:sz w:val="20"/>
          <w:szCs w:val="20"/>
          <w:lang w:eastAsia="en-IN"/>
        </w:rPr>
        <w:t>The prorate</w:t>
      </w:r>
      <w:proofErr w:type="gramEnd"/>
      <w:r w:rsidRPr="0060695D">
        <w:rPr>
          <w:rFonts w:ascii="Arial" w:eastAsia="Times New Roman" w:hAnsi="Arial" w:cs="Arial"/>
          <w:sz w:val="20"/>
          <w:szCs w:val="20"/>
          <w:lang w:eastAsia="en-IN"/>
        </w:rPr>
        <w:t xml:space="preserve"> period and asset age determine which rate Assets selects from the rate table. The Calculate Depreciation process calculates the asset age from the date placed in service as the number of fiscal years that you have held the asset.</w:t>
      </w:r>
    </w:p>
    <w:p w:rsidR="0060695D" w:rsidRPr="0060695D" w:rsidRDefault="0060695D" w:rsidP="0060695D">
      <w:pPr>
        <w:numPr>
          <w:ilvl w:val="0"/>
          <w:numId w:val="4"/>
        </w:numPr>
        <w:spacing w:after="120" w:line="240" w:lineRule="auto"/>
        <w:rPr>
          <w:rFonts w:ascii="Arial" w:eastAsia="Times New Roman" w:hAnsi="Arial" w:cs="Arial"/>
          <w:sz w:val="20"/>
          <w:szCs w:val="20"/>
          <w:lang w:eastAsia="en-IN"/>
        </w:rPr>
      </w:pPr>
      <w:r w:rsidRPr="00996ABA">
        <w:rPr>
          <w:rFonts w:ascii="Arial" w:hAnsi="Arial" w:cs="Arial"/>
          <w:sz w:val="20"/>
          <w:szCs w:val="20"/>
          <w:shd w:val="clear" w:color="auto" w:fill="FFFFFF"/>
        </w:rPr>
        <w:t>If two assets are placed in service at different times, but have the same depreciation method and life, Assets uses the same rate table, but may choose a different rate from a different column and row in the table.</w:t>
      </w:r>
    </w:p>
    <w:p w:rsidR="0060695D" w:rsidRPr="00C921A7" w:rsidRDefault="006212FB" w:rsidP="0060695D">
      <w:pPr>
        <w:pStyle w:val="Heading2"/>
        <w:shd w:val="clear" w:color="auto" w:fill="FFFFFF"/>
        <w:spacing w:before="300" w:after="150"/>
        <w:rPr>
          <w:rFonts w:ascii="Arial" w:hAnsi="Arial" w:cs="Arial"/>
          <w:b/>
          <w:color w:val="C00000"/>
          <w:sz w:val="36"/>
          <w:szCs w:val="36"/>
        </w:rPr>
      </w:pPr>
      <w:r w:rsidRPr="00C921A7">
        <w:rPr>
          <w:rFonts w:ascii="Arial" w:hAnsi="Arial" w:cs="Arial"/>
          <w:b/>
          <w:color w:val="C00000"/>
          <w:sz w:val="36"/>
          <w:szCs w:val="36"/>
        </w:rPr>
        <w:t>Conclusion</w:t>
      </w:r>
      <w:r w:rsidR="000A4603" w:rsidRPr="00C921A7">
        <w:rPr>
          <w:rFonts w:ascii="Arial" w:hAnsi="Arial" w:cs="Arial"/>
          <w:b/>
          <w:color w:val="C00000"/>
          <w:sz w:val="36"/>
          <w:szCs w:val="36"/>
        </w:rPr>
        <w:t xml:space="preserve">: </w:t>
      </w:r>
    </w:p>
    <w:p w:rsidR="0060695D" w:rsidRPr="00996ABA" w:rsidRDefault="0060695D" w:rsidP="0060695D">
      <w:pPr>
        <w:pStyle w:val="Heading2"/>
        <w:shd w:val="clear" w:color="auto" w:fill="FFFFFF"/>
        <w:spacing w:before="300" w:after="150"/>
        <w:rPr>
          <w:rFonts w:ascii="Arial" w:hAnsi="Arial" w:cs="Arial"/>
          <w:color w:val="00B0F0"/>
          <w:sz w:val="20"/>
          <w:szCs w:val="20"/>
        </w:rPr>
      </w:pPr>
      <w:r w:rsidRPr="00996ABA">
        <w:rPr>
          <w:rFonts w:ascii="Arial" w:hAnsi="Arial" w:cs="Arial"/>
          <w:b/>
          <w:bCs/>
          <w:color w:val="00B0F0"/>
          <w:sz w:val="20"/>
          <w:szCs w:val="20"/>
        </w:rPr>
        <w:t>How Depreciation Is Calculated</w:t>
      </w:r>
    </w:p>
    <w:p w:rsidR="0060695D" w:rsidRPr="00996ABA" w:rsidRDefault="0060695D" w:rsidP="0060695D">
      <w:pPr>
        <w:pStyle w:val="p"/>
        <w:shd w:val="clear" w:color="auto" w:fill="FFFFFF"/>
        <w:spacing w:before="210" w:beforeAutospacing="0" w:after="210" w:afterAutospacing="0"/>
        <w:rPr>
          <w:rFonts w:ascii="Arial" w:hAnsi="Arial" w:cs="Arial"/>
          <w:sz w:val="20"/>
          <w:szCs w:val="20"/>
        </w:rPr>
      </w:pPr>
      <w:r w:rsidRPr="00996ABA">
        <w:rPr>
          <w:rFonts w:ascii="Arial" w:hAnsi="Arial" w:cs="Arial"/>
          <w:sz w:val="20"/>
          <w:szCs w:val="20"/>
        </w:rPr>
        <w:t>Calculated and table-based methods calculate annual depreciation by multiplying the depreciation rate by the recoverable cost or net book value as of the beginning of the fiscal year.</w:t>
      </w:r>
    </w:p>
    <w:p w:rsidR="0060695D" w:rsidRPr="00996ABA" w:rsidRDefault="0060695D" w:rsidP="0060695D">
      <w:pPr>
        <w:pStyle w:val="p"/>
        <w:shd w:val="clear" w:color="auto" w:fill="FFFFFF"/>
        <w:spacing w:before="210" w:beforeAutospacing="0" w:after="210" w:afterAutospacing="0"/>
        <w:rPr>
          <w:rFonts w:ascii="Arial" w:hAnsi="Arial" w:cs="Arial"/>
          <w:sz w:val="20"/>
          <w:szCs w:val="20"/>
        </w:rPr>
      </w:pPr>
      <w:r w:rsidRPr="00996ABA">
        <w:rPr>
          <w:rFonts w:ascii="Arial" w:hAnsi="Arial" w:cs="Arial"/>
          <w:sz w:val="20"/>
          <w:szCs w:val="20"/>
        </w:rPr>
        <w:t>Flat-rate methods calculate annual depreciation as the depreciation rate multiplied by the recoverable cost or net book value, multiplied by the fraction of the year that the asset was held.</w:t>
      </w:r>
    </w:p>
    <w:p w:rsidR="0060695D" w:rsidRPr="00996ABA" w:rsidRDefault="0060695D" w:rsidP="0060695D">
      <w:pPr>
        <w:pStyle w:val="p"/>
        <w:shd w:val="clear" w:color="auto" w:fill="FFFFFF"/>
        <w:spacing w:before="210" w:beforeAutospacing="0" w:after="210" w:afterAutospacing="0"/>
        <w:rPr>
          <w:rFonts w:ascii="Arial" w:hAnsi="Arial" w:cs="Arial"/>
          <w:sz w:val="20"/>
          <w:szCs w:val="20"/>
        </w:rPr>
      </w:pPr>
      <w:r w:rsidRPr="00996ABA">
        <w:rPr>
          <w:rFonts w:ascii="Arial" w:hAnsi="Arial" w:cs="Arial"/>
          <w:sz w:val="20"/>
          <w:szCs w:val="20"/>
        </w:rPr>
        <w:t>After calculating the annual depreciation amount, Assets uses the depreciation calendar and the options chosen for dividing depreciation and depreciating when an asset is placed in service to determine how much of the fiscal year depreciation to allocate to the period for which you ran depreciation.</w:t>
      </w:r>
    </w:p>
    <w:p w:rsidR="0060695D" w:rsidRPr="00996ABA" w:rsidRDefault="0060695D" w:rsidP="0060695D">
      <w:pPr>
        <w:pStyle w:val="p"/>
        <w:shd w:val="clear" w:color="auto" w:fill="FFFFFF"/>
        <w:spacing w:before="210" w:beforeAutospacing="0" w:after="210" w:afterAutospacing="0"/>
        <w:rPr>
          <w:rFonts w:ascii="Arial" w:hAnsi="Arial" w:cs="Arial"/>
          <w:sz w:val="20"/>
          <w:szCs w:val="20"/>
        </w:rPr>
      </w:pPr>
      <w:r w:rsidRPr="00996ABA">
        <w:rPr>
          <w:rFonts w:ascii="Arial" w:hAnsi="Arial" w:cs="Arial"/>
          <w:sz w:val="20"/>
          <w:szCs w:val="20"/>
        </w:rPr>
        <w:t>You can choose to allocate depreciation:</w:t>
      </w:r>
    </w:p>
    <w:p w:rsidR="0060695D" w:rsidRPr="00996ABA" w:rsidRDefault="0060695D" w:rsidP="0060695D">
      <w:pPr>
        <w:pStyle w:val="p"/>
        <w:numPr>
          <w:ilvl w:val="0"/>
          <w:numId w:val="5"/>
        </w:numPr>
        <w:shd w:val="clear" w:color="auto" w:fill="FFFFFF"/>
        <w:spacing w:before="0" w:beforeAutospacing="0" w:after="120" w:afterAutospacing="0"/>
        <w:rPr>
          <w:rFonts w:ascii="Arial" w:hAnsi="Arial" w:cs="Arial"/>
          <w:sz w:val="20"/>
          <w:szCs w:val="20"/>
        </w:rPr>
      </w:pPr>
      <w:r w:rsidRPr="00996ABA">
        <w:rPr>
          <w:rFonts w:ascii="Arial" w:hAnsi="Arial" w:cs="Arial"/>
          <w:sz w:val="20"/>
          <w:szCs w:val="20"/>
        </w:rPr>
        <w:t>Evenly to each of your accounting periods: Assets divides the annual depreciation by the number of depreciation periods in your fiscal year to get the depreciation per period.</w:t>
      </w:r>
    </w:p>
    <w:p w:rsidR="0060695D" w:rsidRPr="00996ABA" w:rsidRDefault="0060695D" w:rsidP="0060695D">
      <w:pPr>
        <w:pStyle w:val="p"/>
        <w:numPr>
          <w:ilvl w:val="0"/>
          <w:numId w:val="5"/>
        </w:numPr>
        <w:shd w:val="clear" w:color="auto" w:fill="FFFFFF"/>
        <w:spacing w:before="0" w:beforeAutospacing="0" w:after="120" w:afterAutospacing="0"/>
        <w:rPr>
          <w:rFonts w:ascii="Arial" w:hAnsi="Arial" w:cs="Arial"/>
          <w:sz w:val="20"/>
          <w:szCs w:val="20"/>
        </w:rPr>
      </w:pPr>
      <w:r w:rsidRPr="00996ABA">
        <w:rPr>
          <w:rFonts w:ascii="Arial" w:hAnsi="Arial" w:cs="Arial"/>
          <w:sz w:val="20"/>
          <w:szCs w:val="20"/>
        </w:rPr>
        <w:t>According to the number of days in each period: Assets divides the annual depreciation by the number of days that the asset depreciates in the fiscal year and multiplies the result by the number of days in the appropriate accounting period.</w:t>
      </w:r>
    </w:p>
    <w:p w:rsidR="0060695D" w:rsidRPr="00996ABA" w:rsidRDefault="0060695D" w:rsidP="0060695D">
      <w:pPr>
        <w:pStyle w:val="p"/>
        <w:shd w:val="clear" w:color="auto" w:fill="FFFFFF"/>
        <w:spacing w:before="210" w:beforeAutospacing="0" w:after="210" w:afterAutospacing="0"/>
        <w:rPr>
          <w:rFonts w:ascii="Arial" w:hAnsi="Arial" w:cs="Arial"/>
          <w:sz w:val="20"/>
          <w:szCs w:val="20"/>
        </w:rPr>
      </w:pPr>
      <w:r w:rsidRPr="00996ABA">
        <w:rPr>
          <w:rFonts w:ascii="Arial" w:hAnsi="Arial" w:cs="Arial"/>
          <w:sz w:val="20"/>
          <w:szCs w:val="20"/>
        </w:rPr>
        <w:t>Assets allocates the periodic depreciation to the assignments to which you assigned the asset, according to the fraction of the asset units that is assigned to each depreciation expense account.</w:t>
      </w:r>
    </w:p>
    <w:p w:rsidR="008618EE" w:rsidRPr="00996ABA" w:rsidRDefault="001033ED" w:rsidP="001033ED">
      <w:pPr>
        <w:rPr>
          <w:rFonts w:ascii="Arial" w:hAnsi="Arial" w:cs="Arial"/>
          <w:b/>
          <w:sz w:val="20"/>
          <w:szCs w:val="20"/>
        </w:rPr>
      </w:pPr>
      <w:r w:rsidRPr="00996ABA">
        <w:rPr>
          <w:rFonts w:ascii="Arial" w:hAnsi="Arial" w:cs="Arial"/>
          <w:b/>
          <w:sz w:val="20"/>
          <w:szCs w:val="20"/>
        </w:rPr>
        <w:t xml:space="preserve">Note: </w:t>
      </w:r>
      <w:r w:rsidR="0079002A" w:rsidRPr="00996ABA">
        <w:rPr>
          <w:rFonts w:ascii="Arial" w:hAnsi="Arial" w:cs="Arial"/>
          <w:b/>
          <w:sz w:val="20"/>
          <w:szCs w:val="20"/>
        </w:rPr>
        <w:t xml:space="preserve">Post the </w:t>
      </w:r>
      <w:r w:rsidR="000C6EC7" w:rsidRPr="00996ABA">
        <w:rPr>
          <w:rFonts w:ascii="Arial" w:hAnsi="Arial" w:cs="Arial"/>
          <w:b/>
          <w:sz w:val="20"/>
          <w:szCs w:val="20"/>
        </w:rPr>
        <w:t>blog</w:t>
      </w:r>
      <w:r w:rsidR="00A81504" w:rsidRPr="00996ABA">
        <w:rPr>
          <w:rFonts w:ascii="Arial" w:hAnsi="Arial" w:cs="Arial"/>
          <w:b/>
          <w:sz w:val="20"/>
          <w:szCs w:val="20"/>
        </w:rPr>
        <w:t xml:space="preserve"> </w:t>
      </w:r>
      <w:r w:rsidR="0079002A" w:rsidRPr="00996ABA">
        <w:rPr>
          <w:rFonts w:ascii="Arial" w:hAnsi="Arial" w:cs="Arial"/>
          <w:b/>
          <w:sz w:val="20"/>
          <w:szCs w:val="20"/>
        </w:rPr>
        <w:t xml:space="preserve">in SharePoint. After </w:t>
      </w:r>
      <w:r w:rsidR="00A81504" w:rsidRPr="00996ABA">
        <w:rPr>
          <w:rFonts w:ascii="Arial" w:hAnsi="Arial" w:cs="Arial"/>
          <w:b/>
          <w:sz w:val="20"/>
          <w:szCs w:val="20"/>
        </w:rPr>
        <w:t>your manager</w:t>
      </w:r>
      <w:r w:rsidR="0079002A" w:rsidRPr="00996ABA">
        <w:rPr>
          <w:rFonts w:ascii="Arial" w:hAnsi="Arial" w:cs="Arial"/>
          <w:b/>
          <w:sz w:val="20"/>
          <w:szCs w:val="20"/>
        </w:rPr>
        <w:t>’s</w:t>
      </w:r>
      <w:r w:rsidR="00A81504" w:rsidRPr="00996ABA">
        <w:rPr>
          <w:rFonts w:ascii="Arial" w:hAnsi="Arial" w:cs="Arial"/>
          <w:b/>
          <w:sz w:val="20"/>
          <w:szCs w:val="20"/>
        </w:rPr>
        <w:t xml:space="preserve"> </w:t>
      </w:r>
      <w:r w:rsidRPr="00996ABA">
        <w:rPr>
          <w:rFonts w:ascii="Arial" w:hAnsi="Arial" w:cs="Arial"/>
          <w:b/>
          <w:sz w:val="20"/>
          <w:szCs w:val="20"/>
        </w:rPr>
        <w:t>review</w:t>
      </w:r>
      <w:r w:rsidR="0079002A" w:rsidRPr="00996ABA">
        <w:rPr>
          <w:rFonts w:ascii="Arial" w:hAnsi="Arial" w:cs="Arial"/>
          <w:b/>
          <w:sz w:val="20"/>
          <w:szCs w:val="20"/>
        </w:rPr>
        <w:t>, you can post it in our website.</w:t>
      </w:r>
      <w:bookmarkStart w:id="0" w:name="_GoBack"/>
      <w:bookmarkEnd w:id="0"/>
    </w:p>
    <w:sectPr w:rsidR="008618EE" w:rsidRPr="00996ABA" w:rsidSect="0015434F">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002" w:rsidRDefault="00EE4002" w:rsidP="006212FB">
      <w:pPr>
        <w:spacing w:after="0" w:line="240" w:lineRule="auto"/>
      </w:pPr>
      <w:r>
        <w:separator/>
      </w:r>
    </w:p>
  </w:endnote>
  <w:endnote w:type="continuationSeparator" w:id="0">
    <w:p w:rsidR="00EE4002" w:rsidRDefault="00EE4002" w:rsidP="00621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002" w:rsidRDefault="00EE4002" w:rsidP="006212FB">
      <w:pPr>
        <w:spacing w:after="0" w:line="240" w:lineRule="auto"/>
      </w:pPr>
      <w:r>
        <w:separator/>
      </w:r>
    </w:p>
  </w:footnote>
  <w:footnote w:type="continuationSeparator" w:id="0">
    <w:p w:rsidR="00EE4002" w:rsidRDefault="00EE4002" w:rsidP="00621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2FB" w:rsidRPr="00996ABA" w:rsidRDefault="00294764" w:rsidP="006212FB">
    <w:pPr>
      <w:pStyle w:val="Header"/>
      <w:jc w:val="center"/>
      <w:rPr>
        <w:b/>
        <w:color w:val="00B050"/>
        <w:sz w:val="52"/>
        <w:szCs w:val="52"/>
      </w:rPr>
    </w:pPr>
    <w:r w:rsidRPr="00996ABA">
      <w:rPr>
        <w:b/>
        <w:color w:val="00B050"/>
        <w:sz w:val="52"/>
        <w:szCs w:val="52"/>
      </w:rPr>
      <w:t>Fixed Asset Depreciation</w:t>
    </w:r>
    <w:r w:rsidR="006212FB" w:rsidRPr="00996ABA">
      <w:rPr>
        <w:b/>
        <w:color w:val="00B050"/>
        <w:sz w:val="52"/>
        <w:szCs w:val="52"/>
      </w:rPr>
      <w:t xml:space="preserve"> Blog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029FF"/>
    <w:multiLevelType w:val="multilevel"/>
    <w:tmpl w:val="A806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DB4CED"/>
    <w:multiLevelType w:val="multilevel"/>
    <w:tmpl w:val="B010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4D1C2E"/>
    <w:multiLevelType w:val="multilevel"/>
    <w:tmpl w:val="76A4F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DD3A42"/>
    <w:multiLevelType w:val="multilevel"/>
    <w:tmpl w:val="876C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A51F0E"/>
    <w:multiLevelType w:val="multilevel"/>
    <w:tmpl w:val="14B4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637B71"/>
    <w:multiLevelType w:val="hybridMultilevel"/>
    <w:tmpl w:val="5CFA7A7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212FB"/>
    <w:rsid w:val="000A4603"/>
    <w:rsid w:val="000C6EC7"/>
    <w:rsid w:val="000D25D2"/>
    <w:rsid w:val="000D4657"/>
    <w:rsid w:val="001033ED"/>
    <w:rsid w:val="00134273"/>
    <w:rsid w:val="0015434F"/>
    <w:rsid w:val="00170F5D"/>
    <w:rsid w:val="00180C43"/>
    <w:rsid w:val="002025F0"/>
    <w:rsid w:val="00240F21"/>
    <w:rsid w:val="00294764"/>
    <w:rsid w:val="004249EE"/>
    <w:rsid w:val="005C5F1E"/>
    <w:rsid w:val="0060695D"/>
    <w:rsid w:val="006212FB"/>
    <w:rsid w:val="00661B88"/>
    <w:rsid w:val="007304C2"/>
    <w:rsid w:val="00750EE9"/>
    <w:rsid w:val="0079002A"/>
    <w:rsid w:val="007F79F7"/>
    <w:rsid w:val="008228E9"/>
    <w:rsid w:val="008258DB"/>
    <w:rsid w:val="008618EE"/>
    <w:rsid w:val="008C3CFD"/>
    <w:rsid w:val="008C77FD"/>
    <w:rsid w:val="00915B0A"/>
    <w:rsid w:val="009576EE"/>
    <w:rsid w:val="00996ABA"/>
    <w:rsid w:val="00A1466D"/>
    <w:rsid w:val="00A81504"/>
    <w:rsid w:val="00AA1DE5"/>
    <w:rsid w:val="00AC4428"/>
    <w:rsid w:val="00AF6479"/>
    <w:rsid w:val="00BE135D"/>
    <w:rsid w:val="00BE38EF"/>
    <w:rsid w:val="00C921A7"/>
    <w:rsid w:val="00C92FE1"/>
    <w:rsid w:val="00E363C6"/>
    <w:rsid w:val="00EE40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5CE8F"/>
  <w15:docId w15:val="{77D312A4-BB38-416F-BB07-12E0D84C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34F"/>
  </w:style>
  <w:style w:type="paragraph" w:styleId="Heading1">
    <w:name w:val="heading 1"/>
    <w:basedOn w:val="Normal"/>
    <w:next w:val="Normal"/>
    <w:link w:val="Heading1Char"/>
    <w:uiPriority w:val="9"/>
    <w:qFormat/>
    <w:rsid w:val="0060695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9476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2FB"/>
    <w:pPr>
      <w:ind w:left="720"/>
      <w:contextualSpacing/>
    </w:pPr>
  </w:style>
  <w:style w:type="paragraph" w:styleId="Header">
    <w:name w:val="header"/>
    <w:basedOn w:val="Normal"/>
    <w:link w:val="HeaderChar"/>
    <w:uiPriority w:val="99"/>
    <w:unhideWhenUsed/>
    <w:rsid w:val="006212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2FB"/>
  </w:style>
  <w:style w:type="paragraph" w:styleId="Footer">
    <w:name w:val="footer"/>
    <w:basedOn w:val="Normal"/>
    <w:link w:val="FooterChar"/>
    <w:uiPriority w:val="99"/>
    <w:unhideWhenUsed/>
    <w:rsid w:val="006212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2FB"/>
  </w:style>
  <w:style w:type="character" w:customStyle="1" w:styleId="Heading2Char">
    <w:name w:val="Heading 2 Char"/>
    <w:basedOn w:val="DefaultParagraphFont"/>
    <w:link w:val="Heading2"/>
    <w:uiPriority w:val="9"/>
    <w:rsid w:val="00294764"/>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60695D"/>
    <w:rPr>
      <w:rFonts w:asciiTheme="majorHAnsi" w:eastAsiaTheme="majorEastAsia" w:hAnsiTheme="majorHAnsi" w:cstheme="majorBidi"/>
      <w:color w:val="365F91" w:themeColor="accent1" w:themeShade="BF"/>
      <w:sz w:val="32"/>
      <w:szCs w:val="32"/>
    </w:rPr>
  </w:style>
  <w:style w:type="paragraph" w:customStyle="1" w:styleId="shortdesc">
    <w:name w:val="shortdesc"/>
    <w:basedOn w:val="Normal"/>
    <w:rsid w:val="0060695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p">
    <w:name w:val="p"/>
    <w:basedOn w:val="Normal"/>
    <w:rsid w:val="0060695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gkelc">
    <w:name w:val="hgkelc"/>
    <w:basedOn w:val="DefaultParagraphFont"/>
    <w:rsid w:val="0060695D"/>
  </w:style>
  <w:style w:type="character" w:customStyle="1" w:styleId="kx21rb">
    <w:name w:val="kx21rb"/>
    <w:basedOn w:val="DefaultParagraphFont"/>
    <w:rsid w:val="00606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898593">
      <w:bodyDiv w:val="1"/>
      <w:marLeft w:val="0"/>
      <w:marRight w:val="0"/>
      <w:marTop w:val="0"/>
      <w:marBottom w:val="0"/>
      <w:divBdr>
        <w:top w:val="none" w:sz="0" w:space="0" w:color="auto"/>
        <w:left w:val="none" w:sz="0" w:space="0" w:color="auto"/>
        <w:bottom w:val="none" w:sz="0" w:space="0" w:color="auto"/>
        <w:right w:val="none" w:sz="0" w:space="0" w:color="auto"/>
      </w:divBdr>
    </w:div>
    <w:div w:id="503473508">
      <w:bodyDiv w:val="1"/>
      <w:marLeft w:val="0"/>
      <w:marRight w:val="0"/>
      <w:marTop w:val="0"/>
      <w:marBottom w:val="0"/>
      <w:divBdr>
        <w:top w:val="none" w:sz="0" w:space="0" w:color="auto"/>
        <w:left w:val="none" w:sz="0" w:space="0" w:color="auto"/>
        <w:bottom w:val="none" w:sz="0" w:space="0" w:color="auto"/>
        <w:right w:val="none" w:sz="0" w:space="0" w:color="auto"/>
      </w:divBdr>
    </w:div>
    <w:div w:id="555821913">
      <w:bodyDiv w:val="1"/>
      <w:marLeft w:val="0"/>
      <w:marRight w:val="0"/>
      <w:marTop w:val="0"/>
      <w:marBottom w:val="0"/>
      <w:divBdr>
        <w:top w:val="none" w:sz="0" w:space="0" w:color="auto"/>
        <w:left w:val="none" w:sz="0" w:space="0" w:color="auto"/>
        <w:bottom w:val="none" w:sz="0" w:space="0" w:color="auto"/>
        <w:right w:val="none" w:sz="0" w:space="0" w:color="auto"/>
      </w:divBdr>
    </w:div>
    <w:div w:id="976110799">
      <w:bodyDiv w:val="1"/>
      <w:marLeft w:val="0"/>
      <w:marRight w:val="0"/>
      <w:marTop w:val="0"/>
      <w:marBottom w:val="0"/>
      <w:divBdr>
        <w:top w:val="none" w:sz="0" w:space="0" w:color="auto"/>
        <w:left w:val="none" w:sz="0" w:space="0" w:color="auto"/>
        <w:bottom w:val="none" w:sz="0" w:space="0" w:color="auto"/>
        <w:right w:val="none" w:sz="0" w:space="0" w:color="auto"/>
      </w:divBdr>
    </w:div>
    <w:div w:id="1105809504">
      <w:bodyDiv w:val="1"/>
      <w:marLeft w:val="0"/>
      <w:marRight w:val="0"/>
      <w:marTop w:val="0"/>
      <w:marBottom w:val="0"/>
      <w:divBdr>
        <w:top w:val="none" w:sz="0" w:space="0" w:color="auto"/>
        <w:left w:val="none" w:sz="0" w:space="0" w:color="auto"/>
        <w:bottom w:val="none" w:sz="0" w:space="0" w:color="auto"/>
        <w:right w:val="none" w:sz="0" w:space="0" w:color="auto"/>
      </w:divBdr>
    </w:div>
    <w:div w:id="1304001735">
      <w:bodyDiv w:val="1"/>
      <w:marLeft w:val="0"/>
      <w:marRight w:val="0"/>
      <w:marTop w:val="0"/>
      <w:marBottom w:val="0"/>
      <w:divBdr>
        <w:top w:val="none" w:sz="0" w:space="0" w:color="auto"/>
        <w:left w:val="none" w:sz="0" w:space="0" w:color="auto"/>
        <w:bottom w:val="none" w:sz="0" w:space="0" w:color="auto"/>
        <w:right w:val="none" w:sz="0" w:space="0" w:color="auto"/>
      </w:divBdr>
    </w:div>
    <w:div w:id="1430468873">
      <w:bodyDiv w:val="1"/>
      <w:marLeft w:val="0"/>
      <w:marRight w:val="0"/>
      <w:marTop w:val="0"/>
      <w:marBottom w:val="0"/>
      <w:divBdr>
        <w:top w:val="none" w:sz="0" w:space="0" w:color="auto"/>
        <w:left w:val="none" w:sz="0" w:space="0" w:color="auto"/>
        <w:bottom w:val="none" w:sz="0" w:space="0" w:color="auto"/>
        <w:right w:val="none" w:sz="0" w:space="0" w:color="auto"/>
      </w:divBdr>
      <w:divsChild>
        <w:div w:id="717164289">
          <w:marLeft w:val="0"/>
          <w:marRight w:val="0"/>
          <w:marTop w:val="0"/>
          <w:marBottom w:val="0"/>
          <w:divBdr>
            <w:top w:val="none" w:sz="0" w:space="0" w:color="auto"/>
            <w:left w:val="none" w:sz="0" w:space="0" w:color="auto"/>
            <w:bottom w:val="none" w:sz="0" w:space="0" w:color="auto"/>
            <w:right w:val="none" w:sz="0" w:space="0" w:color="auto"/>
          </w:divBdr>
          <w:divsChild>
            <w:div w:id="1670713396">
              <w:marLeft w:val="0"/>
              <w:marRight w:val="0"/>
              <w:marTop w:val="0"/>
              <w:marBottom w:val="0"/>
              <w:divBdr>
                <w:top w:val="none" w:sz="0" w:space="0" w:color="auto"/>
                <w:left w:val="none" w:sz="0" w:space="0" w:color="auto"/>
                <w:bottom w:val="none" w:sz="0" w:space="0" w:color="auto"/>
                <w:right w:val="none" w:sz="0" w:space="0" w:color="auto"/>
              </w:divBdr>
              <w:divsChild>
                <w:div w:id="101607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3</Pages>
  <Words>560</Words>
  <Characters>3197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BAKU</dc:creator>
  <cp:lastModifiedBy>Krishnamoorthy, Bhaskar</cp:lastModifiedBy>
  <cp:revision>28</cp:revision>
  <dcterms:created xsi:type="dcterms:W3CDTF">2020-10-07T06:07:00Z</dcterms:created>
  <dcterms:modified xsi:type="dcterms:W3CDTF">2024-08-25T15:57:00Z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ba79d93e5bc02d9d9d636f377a695351a47f3765e35dbde2cec1accbc83c5c8d</vt:lpwstr>
  </property>
</Properties>
</file>